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 w:line="240" w:lineRule="auto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Прокуратура города Электростали Московской области разъясняет.</w:t>
      </w:r>
    </w:p>
    <w:p w14:paraId="02000000">
      <w:pPr>
        <w:spacing w:after="0" w:before="168"/>
        <w:ind w:firstLine="0" w:left="0" w:right="0"/>
        <w:jc w:val="both"/>
        <w:rPr>
          <w:rFonts w:ascii="Times New Roman" w:hAnsi="Times New Roman"/>
          <w:b w:val="0"/>
          <w:sz w:val="28"/>
        </w:rPr>
      </w:pPr>
    </w:p>
    <w:p w14:paraId="03000000">
      <w:pPr>
        <w:spacing w:after="0" w:before="168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1"/>
          <w:sz w:val="28"/>
        </w:rPr>
        <w:t>На 3 года устанавливается экспериментальный правовой режим в сфере цифровых и технологических инноваций по подписанию информированного добровольного согласия на медицинское вмешательство или отказа от медицинского вмешательства с использованием электронной графической подписи</w:t>
      </w:r>
    </w:p>
    <w:p w14:paraId="04000000">
      <w:pPr>
        <w:spacing w:after="0" w:before="168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trike w:val="0"/>
          <w:color w:val="0000FF"/>
          <w:sz w:val="28"/>
          <w:u w:color="000000" w:val="single"/>
        </w:rPr>
        <w:t>Постановление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Правительства РФ от 31.10.2025 N 1706</w:t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«Об установлении экспериментального правового режима в сфере цифровых и технологических инноваций и утверждении Программы экспериментального правового режима в сфере цифровых и технологических инноваций по подписанию информированного добровольного согласия на медицинское вмешательство или отказа от медицинского вмешательства с использованием электронной графической подписи»</w:t>
      </w:r>
      <w:r>
        <w:rPr>
          <w:rFonts w:ascii="Times New Roman" w:hAnsi="Times New Roman"/>
          <w:sz w:val="28"/>
        </w:rPr>
        <w:t> </w:t>
      </w:r>
    </w:p>
    <w:p w14:paraId="05000000">
      <w:pPr>
        <w:spacing w:after="0" w:before="168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Медицинские работники медицинских организаций, являющихся участниками экспериментального правового режима, на очном приеме предоставляют гражданину в доступной форме информацию, предусмотренную частью 1 статьи 20 Федерального закона "Об основах охраны здоровья граждан в Российской Федерации", и обеспечивают ознакомление гражданина с содержанием сформированного в форме электронного документа информированного добровольного согласия на медицинское вмешательство или отказа от медицинского вмешательства посредством его демонстрации на специализированном программно-аппаратном комплексе. После выполнения медицинским работником указанных требований гражданин на очном приеме подписывает электронной графической подписью информированное добровольное согласие на медицинское вмешательство или отказ от медицинского вмешательства.</w:t>
      </w:r>
    </w:p>
    <w:p w14:paraId="06000000">
      <w:pPr>
        <w:spacing w:after="0" w:before="168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Подписанные информированное добровольное согласие на медицинское вмешательство или отказ от медицинского вмешательства, сформированные в форме электронного документа, загружаются медицинским работником в единую систему и включаются в медицинскую документацию пациента.</w:t>
      </w:r>
    </w:p>
    <w:p w14:paraId="07000000">
      <w:pPr>
        <w:spacing w:after="0" w:before="168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Утверждена Программа экспериментального правового режима в сфере цифровых и технологических инноваций по подписанию информированного добровольного согласия на медицинское вмешательство или отказа от медицинского вмешательства с использованием электронной графической подписи.</w:t>
      </w:r>
    </w:p>
    <w:p w14:paraId="08000000">
      <w:pPr>
        <w:spacing w:after="0" w:before="0"/>
        <w:ind w:firstLine="0" w:left="0" w:right="0"/>
        <w:jc w:val="both"/>
        <w:rPr>
          <w:b w:val="0"/>
        </w:rPr>
      </w:pPr>
      <w:r>
        <w:rPr>
          <w:b w:val="0"/>
        </w:rPr>
        <w:t> </w:t>
      </w:r>
    </w:p>
    <w:p w14:paraId="09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Помощник прокурора города Шаркова Ольга Викторовна </w:t>
      </w:r>
    </w:p>
    <w:sectPr>
      <w:pgSz w:h="16838" w:orient="portrait" w:w="11906"/>
      <w:pgMar w:bottom="1134" w:footer="708" w:gutter="0" w:header="708" w:left="1701" w:right="566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160" w:before="0" w:line="264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</w:style>
  <w:style w:default="1" w:styleId="Style_1_ch" w:type="character">
    <w:name w:val="Normal"/>
    <w:link w:val="Style_1"/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header"/>
    <w:basedOn w:val="Style_1"/>
    <w:link w:val="Style_8_ch"/>
    <w:pPr>
      <w:tabs>
        <w:tab w:leader="none" w:pos="4677" w:val="center"/>
        <w:tab w:leader="none" w:pos="9355" w:val="right"/>
      </w:tabs>
      <w:spacing w:after="0" w:line="240" w:lineRule="auto"/>
      <w:ind/>
    </w:pPr>
  </w:style>
  <w:style w:styleId="Style_8_ch" w:type="character">
    <w:name w:val="header"/>
    <w:basedOn w:val="Style_1_ch"/>
    <w:link w:val="Style_8"/>
  </w:style>
  <w:style w:styleId="Style_9" w:type="paragraph">
    <w:name w:val="toc 3"/>
    <w:next w:val="Style_1"/>
    <w:link w:val="Style_9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9_ch" w:type="character">
    <w:name w:val="toc 3"/>
    <w:link w:val="Style_9"/>
    <w:rPr>
      <w:rFonts w:ascii="XO Thames" w:hAnsi="XO Thames"/>
      <w:sz w:val="28"/>
    </w:rPr>
  </w:style>
  <w:style w:styleId="Style_10" w:type="paragraph">
    <w:name w:val="heading 5"/>
    <w:next w:val="Style_1"/>
    <w:link w:val="Style_10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0_ch" w:type="character">
    <w:name w:val="heading 5"/>
    <w:link w:val="Style_10"/>
    <w:rPr>
      <w:rFonts w:ascii="XO Thames" w:hAnsi="XO Thames"/>
      <w:b w:val="1"/>
      <w:sz w:val="22"/>
    </w:rPr>
  </w:style>
  <w:style w:styleId="Style_11" w:type="paragraph">
    <w:name w:val="heading 1"/>
    <w:next w:val="Style_1"/>
    <w:link w:val="Style_11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1_ch" w:type="character">
    <w:name w:val="heading 1"/>
    <w:link w:val="Style_11"/>
    <w:rPr>
      <w:rFonts w:ascii="XO Thames" w:hAnsi="XO Thames"/>
      <w:b w:val="1"/>
      <w:sz w:val="32"/>
    </w:rPr>
  </w:style>
  <w:style w:styleId="Style_12" w:type="paragraph">
    <w:name w:val="ConsPlusNormal"/>
    <w:link w:val="Style_12_ch"/>
    <w:pPr>
      <w:widowControl w:val="0"/>
      <w:spacing w:after="0" w:line="240" w:lineRule="auto"/>
      <w:ind/>
    </w:pPr>
    <w:rPr>
      <w:rFonts w:ascii="Times New Roman" w:hAnsi="Times New Roman"/>
      <w:sz w:val="24"/>
    </w:rPr>
  </w:style>
  <w:style w:styleId="Style_12_ch" w:type="character">
    <w:name w:val="ConsPlusNormal"/>
    <w:link w:val="Style_12"/>
    <w:rPr>
      <w:rFonts w:ascii="Times New Roman" w:hAnsi="Times New Roman"/>
      <w:sz w:val="24"/>
    </w:rPr>
  </w:style>
  <w:style w:styleId="Style_13" w:type="paragraph">
    <w:name w:val="Hyperlink"/>
    <w:link w:val="Style_13_ch"/>
    <w:rPr>
      <w:color w:val="0000FF"/>
      <w:u w:val="single"/>
    </w:rPr>
  </w:style>
  <w:style w:styleId="Style_13_ch" w:type="character">
    <w:name w:val="Hyperlink"/>
    <w:link w:val="Style_13"/>
    <w:rPr>
      <w:color w:val="0000FF"/>
      <w:u w:val="single"/>
    </w:rPr>
  </w:style>
  <w:style w:styleId="Style_14" w:type="paragraph">
    <w:name w:val="Footnote"/>
    <w:link w:val="Style_14_ch"/>
    <w:pPr>
      <w:ind w:firstLine="851" w:left="0"/>
      <w:jc w:val="both"/>
    </w:pPr>
    <w:rPr>
      <w:rFonts w:ascii="XO Thames" w:hAnsi="XO Thames"/>
      <w:sz w:val="22"/>
    </w:rPr>
  </w:style>
  <w:style w:styleId="Style_14_ch" w:type="character">
    <w:name w:val="Footnote"/>
    <w:link w:val="Style_14"/>
    <w:rPr>
      <w:rFonts w:ascii="XO Thames" w:hAnsi="XO Thames"/>
      <w:sz w:val="22"/>
    </w:rPr>
  </w:style>
  <w:style w:styleId="Style_15" w:type="paragraph">
    <w:name w:val="toc 1"/>
    <w:next w:val="Style_1"/>
    <w:link w:val="Style_15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5_ch" w:type="character">
    <w:name w:val="toc 1"/>
    <w:link w:val="Style_15"/>
    <w:rPr>
      <w:rFonts w:ascii="XO Thames" w:hAnsi="XO Thames"/>
      <w:b w:val="1"/>
      <w:sz w:val="28"/>
    </w:rPr>
  </w:style>
  <w:style w:styleId="Style_16" w:type="paragraph">
    <w:name w:val="Header and Footer"/>
    <w:link w:val="Style_16_ch"/>
    <w:pPr>
      <w:spacing w:line="240" w:lineRule="auto"/>
      <w:ind/>
      <w:jc w:val="both"/>
    </w:pPr>
    <w:rPr>
      <w:rFonts w:ascii="XO Thames" w:hAnsi="XO Thames"/>
      <w:sz w:val="28"/>
    </w:rPr>
  </w:style>
  <w:style w:styleId="Style_16_ch" w:type="character">
    <w:name w:val="Header and Footer"/>
    <w:link w:val="Style_16"/>
    <w:rPr>
      <w:rFonts w:ascii="XO Thames" w:hAnsi="XO Thames"/>
      <w:sz w:val="28"/>
    </w:rPr>
  </w:style>
  <w:style w:styleId="Style_17" w:type="paragraph">
    <w:name w:val="toc 9"/>
    <w:next w:val="Style_1"/>
    <w:link w:val="Style_17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7_ch" w:type="character">
    <w:name w:val="toc 9"/>
    <w:link w:val="Style_17"/>
    <w:rPr>
      <w:rFonts w:ascii="XO Thames" w:hAnsi="XO Thames"/>
      <w:sz w:val="28"/>
    </w:rPr>
  </w:style>
  <w:style w:styleId="Style_18" w:type="paragraph">
    <w:name w:val="toc 8"/>
    <w:next w:val="Style_1"/>
    <w:link w:val="Style_18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8_ch" w:type="character">
    <w:name w:val="toc 8"/>
    <w:link w:val="Style_18"/>
    <w:rPr>
      <w:rFonts w:ascii="XO Thames" w:hAnsi="XO Thames"/>
      <w:sz w:val="28"/>
    </w:rPr>
  </w:style>
  <w:style w:styleId="Style_19" w:type="paragraph">
    <w:name w:val="toc 5"/>
    <w:next w:val="Style_1"/>
    <w:link w:val="Style_19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9_ch" w:type="character">
    <w:name w:val="toc 5"/>
    <w:link w:val="Style_19"/>
    <w:rPr>
      <w:rFonts w:ascii="XO Thames" w:hAnsi="XO Thames"/>
      <w:sz w:val="28"/>
    </w:rPr>
  </w:style>
  <w:style w:styleId="Style_20" w:type="paragraph">
    <w:name w:val="Normal (Web)"/>
    <w:basedOn w:val="Style_1"/>
    <w:link w:val="Style_20_ch"/>
    <w:pPr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20_ch" w:type="character">
    <w:name w:val="Normal (Web)"/>
    <w:basedOn w:val="Style_1_ch"/>
    <w:link w:val="Style_20"/>
    <w:rPr>
      <w:rFonts w:ascii="Times New Roman" w:hAnsi="Times New Roman"/>
      <w:sz w:val="24"/>
    </w:rPr>
  </w:style>
  <w:style w:styleId="Style_21" w:type="paragraph">
    <w:name w:val="Subtitle"/>
    <w:next w:val="Style_1"/>
    <w:link w:val="Style_21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1_ch" w:type="character">
    <w:name w:val="Subtitle"/>
    <w:link w:val="Style_21"/>
    <w:rPr>
      <w:rFonts w:ascii="XO Thames" w:hAnsi="XO Thames"/>
      <w:i w:val="1"/>
      <w:sz w:val="24"/>
    </w:rPr>
  </w:style>
  <w:style w:styleId="Style_22" w:type="paragraph">
    <w:name w:val="Default Paragraph Font"/>
    <w:link w:val="Style_22_ch"/>
  </w:style>
  <w:style w:styleId="Style_22_ch" w:type="character">
    <w:name w:val="Default Paragraph Font"/>
    <w:link w:val="Style_22"/>
  </w:style>
  <w:style w:styleId="Style_23" w:type="paragraph">
    <w:name w:val="Title"/>
    <w:next w:val="Style_1"/>
    <w:link w:val="Style_23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3_ch" w:type="character">
    <w:name w:val="Title"/>
    <w:link w:val="Style_23"/>
    <w:rPr>
      <w:rFonts w:ascii="XO Thames" w:hAnsi="XO Thames"/>
      <w:b w:val="1"/>
      <w:caps w:val="1"/>
      <w:sz w:val="40"/>
    </w:rPr>
  </w:style>
  <w:style w:styleId="Style_24" w:type="paragraph">
    <w:name w:val="heading 4"/>
    <w:next w:val="Style_1"/>
    <w:link w:val="Style_24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4_ch" w:type="character">
    <w:name w:val="heading 4"/>
    <w:link w:val="Style_24"/>
    <w:rPr>
      <w:rFonts w:ascii="XO Thames" w:hAnsi="XO Thames"/>
      <w:b w:val="1"/>
      <w:sz w:val="24"/>
    </w:rPr>
  </w:style>
  <w:style w:styleId="Style_25" w:type="paragraph">
    <w:name w:val="heading 2"/>
    <w:next w:val="Style_1"/>
    <w:link w:val="Style_25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5_ch" w:type="character">
    <w:name w:val="heading 2"/>
    <w:link w:val="Style_25"/>
    <w:rPr>
      <w:rFonts w:ascii="XO Thames" w:hAnsi="XO Thames"/>
      <w:b w:val="1"/>
      <w:sz w:val="28"/>
    </w:rPr>
  </w:style>
  <w:style w:default="1" w:styleId="Style_26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2025-11-11T15:06:39Z</dcterms:modified>
</cp:coreProperties>
</file>